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-234696</wp:posOffset>
                </wp:positionH>
                <wp:positionV relativeFrom="page">
                  <wp:posOffset>178091</wp:posOffset>
                </wp:positionV>
                <wp:extent cx="6400293" cy="1650860"/>
                <wp:effectExtent l="0" t="0" r="0" b="0"/>
                <wp:wrapTopAndBottom distT="152400" distB="152400"/>
                <wp:docPr id="1073741825" name="officeArt object" descr="Reading Guide: “The Structure, Function, and Genesis of the Prechorus”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293" cy="165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ascii="Helvetica" w:cs="Helvetica" w:hAnsi="Helvetica" w:eastAsia="Helvetica"/>
                                <w:sz w:val="40"/>
                                <w:szCs w:val="4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Title"/>
                              <w:keepNext w:val="0"/>
                              <w:pBdr>
                                <w:top w:val="nil"/>
                                <w:left w:val="nil"/>
                                <w:bottom w:val="single" w:color="7f807f" w:sz="4" w:space="0" w:shadow="0" w:frame="0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Fonts w:ascii="Helvetica" w:cs="Helvetica" w:hAnsi="Helvetica" w:eastAsia="Helvetica"/>
                                <w:kern w:val="24"/>
                                <w:sz w:val="28"/>
                                <w:szCs w:val="28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 xml:space="preserve">Reading Guide: </w:t>
                            </w:r>
                            <w:r>
                              <w:rPr>
                                <w:rFonts w:ascii="Helvetica" w:hAnsi="Helvetica" w:hint="default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>The Structure, Function, and Genesis of the Prechorus</w:t>
                            </w:r>
                            <w:r>
                              <w:rPr>
                                <w:rFonts w:ascii="Helvetica" w:hAnsi="Helvetica" w:hint="default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spacing w:line="240" w:lineRule="auto"/>
                              <w:ind w:left="0" w:right="0" w:firstLine="0"/>
                              <w:jc w:val="center"/>
                              <w:rPr>
                                <w:rFonts w:ascii="Helvetica" w:cs="Helvetica" w:hAnsi="Helvetica" w:eastAsia="Helvetica"/>
                                <w:kern w:val="24"/>
                                <w:sz w:val="28"/>
                                <w:szCs w:val="28"/>
                                <w:u w:color="000000"/>
                                <w:rtl w:val="0"/>
                              </w:rPr>
                            </w:pPr>
                          </w:p>
                          <w:p>
                            <w:pPr>
                              <w:pStyle w:val="Body"/>
                              <w:bidi w:val="0"/>
                              <w:spacing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kern w:val="24"/>
                                <w:u w:color="000000"/>
                                <w:rtl w:val="0"/>
                                <w:lang w:val="en-US"/>
                              </w:rPr>
                              <w:t>Name: 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8.5pt;margin-top:14.0pt;width:504.0pt;height:130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Fonts w:ascii="Helvetica" w:cs="Helvetica" w:hAnsi="Helvetica" w:eastAsia="Helvetica"/>
                          <w:sz w:val="40"/>
                          <w:szCs w:val="40"/>
                          <w:u w:color="000000"/>
                        </w:rPr>
                      </w:pPr>
                    </w:p>
                    <w:p>
                      <w:pPr>
                        <w:pStyle w:val="Title"/>
                        <w:keepNext w:val="0"/>
                        <w:pBdr>
                          <w:top w:val="nil"/>
                          <w:left w:val="nil"/>
                          <w:bottom w:val="single" w:color="7f807f" w:sz="4" w:space="0" w:shadow="0" w:frame="0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kern w:val="24"/>
                          <w:sz w:val="28"/>
                          <w:szCs w:val="28"/>
                          <w:u w:color="000000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 xml:space="preserve">Reading Guide: </w:t>
                      </w:r>
                      <w:r>
                        <w:rPr>
                          <w:rFonts w:ascii="Helvetica" w:hAnsi="Helvetica" w:hint="default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>The Structure, Function, and Genesis of the Prechorus</w:t>
                      </w:r>
                      <w:r>
                        <w:rPr>
                          <w:rFonts w:ascii="Helvetica" w:hAnsi="Helvetica" w:hint="default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"/>
                        <w:bidi w:val="0"/>
                        <w:spacing w:line="240" w:lineRule="auto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kern w:val="24"/>
                          <w:sz w:val="28"/>
                          <w:szCs w:val="28"/>
                          <w:u w:color="000000"/>
                          <w:rtl w:val="0"/>
                        </w:rPr>
                      </w:pPr>
                    </w:p>
                    <w:p>
                      <w:pPr>
                        <w:pStyle w:val="Body"/>
                        <w:bidi w:val="0"/>
                        <w:spacing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kern w:val="24"/>
                          <w:u w:color="000000"/>
                          <w:rtl w:val="0"/>
                          <w:lang w:val="en-US"/>
                        </w:rPr>
                        <w:t>Name: _______________________________________________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Times Roman" w:hAnsi="Times Roman"/>
          <w:rtl w:val="0"/>
        </w:rPr>
        <w:t xml:space="preserve">Summach, Jay. 2011.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n-US"/>
        </w:rPr>
        <w:t>The Structure, Function, and Genesis of the Prechorus.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i w:val="1"/>
          <w:iCs w:val="1"/>
          <w:rtl w:val="0"/>
          <w:lang w:val="en-US"/>
        </w:rPr>
        <w:t>Music Theory Online</w:t>
      </w:r>
      <w:r>
        <w:rPr>
          <w:rFonts w:ascii="Times Roman" w:hAnsi="Times Roman"/>
          <w:rtl w:val="0"/>
        </w:rPr>
        <w:t xml:space="preserve"> 17 (3).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"http://www.mtosmt.org/issues/mto.11.17.3/mto.11.17.3.summach.html"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en-US"/>
        </w:rPr>
        <w:t>http://www.mtosmt.org/issues/mto.11.17.3/mto.11.17.3.summach.html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How does Summach describe verse-chorus form?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When does Summach argue that the prechorus started to appear in verse-chorus forms, and when does it</w:t>
      </w:r>
      <w:r>
        <w:rPr>
          <w:rFonts w:ascii="Times New Roman" w:hAnsi="Times New Roman"/>
          <w:kern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kern w:val="24"/>
          <w:u w:color="000000"/>
          <w:rtl w:val="0"/>
          <w:lang w:val="en-US"/>
        </w:rPr>
        <w:t>become standardized?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 xml:space="preserve">How does Summach differentiate the verse from the prechorus in </w:t>
      </w:r>
      <w:r>
        <w:rPr>
          <w:rFonts w:ascii="Times New Roman" w:hAnsi="Times New Roman" w:hint="default"/>
          <w:kern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kern w:val="24"/>
          <w:u w:color="000000"/>
          <w:rtl w:val="0"/>
          <w:lang w:val="en-US"/>
        </w:rPr>
        <w:t>Talking in Your Sleep</w:t>
      </w:r>
      <w:r>
        <w:rPr>
          <w:rFonts w:ascii="Times New Roman" w:hAnsi="Times New Roman" w:hint="default"/>
          <w:kern w:val="24"/>
          <w:u w:color="000000"/>
          <w:rtl w:val="0"/>
        </w:rPr>
        <w:t>”</w:t>
      </w:r>
      <w:r>
        <w:rPr>
          <w:rFonts w:ascii="Times New Roman" w:hAnsi="Times New Roman"/>
          <w:kern w:val="24"/>
          <w:u w:color="000000"/>
          <w:rtl w:val="0"/>
          <w:lang w:val="zh-TW" w:eastAsia="zh-TW"/>
        </w:rPr>
        <w:t>?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What is the effect of the prechorus on the two-section verse-chorus form?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Be prepared to summarize how Summach describes strophic form and AABA form and the relationship</w:t>
      </w:r>
      <w:r>
        <w:rPr>
          <w:rFonts w:ascii="Times New Roman" w:hAnsi="Times New Roman"/>
          <w:kern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kern w:val="24"/>
          <w:u w:color="000000"/>
          <w:rtl w:val="0"/>
          <w:lang w:val="en-US"/>
        </w:rPr>
        <w:t>between the two.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Summach argues that the difference between refrains and choruses is that refrains are parts of strophes,</w:t>
      </w:r>
      <w:r>
        <w:rPr>
          <w:rFonts w:ascii="Times New Roman" w:hAnsi="Times New Roman"/>
          <w:kern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kern w:val="24"/>
          <w:u w:color="000000"/>
          <w:rtl w:val="0"/>
          <w:lang w:val="en-US"/>
        </w:rPr>
        <w:t>whereas choruses are their own modules. How does he know whether to interpret one module or</w:t>
      </w:r>
      <w:r>
        <w:rPr>
          <w:rFonts w:ascii="Times New Roman" w:hAnsi="Times New Roman"/>
          <w:kern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kern w:val="24"/>
          <w:u w:color="000000"/>
          <w:rtl w:val="0"/>
        </w:rPr>
        <w:t>separate modules?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What are the three common patterns typical of complete modules? Pay special attention to the rock</w:t>
      </w:r>
      <w:r>
        <w:rPr>
          <w:rFonts w:ascii="Times New Roman" w:hAnsi="Times New Roman"/>
          <w:kern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kern w:val="24"/>
          <w:u w:color="000000"/>
          <w:rtl w:val="0"/>
          <w:lang w:val="en-US"/>
        </w:rPr>
        <w:t>music sentence (srdc) that Summach summarizes from Walt Everett.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How does the sentence get expanded over time?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Why isn</w:t>
      </w:r>
      <w:r>
        <w:rPr>
          <w:rFonts w:ascii="Times New Roman" w:hAnsi="Times New Roman" w:hint="default"/>
          <w:kern w:val="24"/>
          <w:u w:color="000000"/>
          <w:rtl w:val="1"/>
        </w:rPr>
        <w:t>’</w:t>
      </w:r>
      <w:r>
        <w:rPr>
          <w:rFonts w:ascii="Times New Roman" w:hAnsi="Times New Roman"/>
          <w:kern w:val="24"/>
          <w:u w:color="000000"/>
          <w:rtl w:val="0"/>
        </w:rPr>
        <w:t xml:space="preserve">t </w:t>
      </w:r>
      <w:r>
        <w:rPr>
          <w:rFonts w:ascii="Times New Roman" w:hAnsi="Times New Roman" w:hint="default"/>
          <w:kern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kern w:val="24"/>
          <w:u w:color="000000"/>
          <w:rtl w:val="0"/>
          <w:lang w:val="en-US"/>
        </w:rPr>
        <w:t>Runaway</w:t>
      </w:r>
      <w:r>
        <w:rPr>
          <w:rFonts w:ascii="Times New Roman" w:hAnsi="Times New Roman" w:hint="default"/>
          <w:kern w:val="24"/>
          <w:u w:color="000000"/>
          <w:rtl w:val="0"/>
        </w:rPr>
        <w:t xml:space="preserve">” </w:t>
      </w:r>
      <w:r>
        <w:rPr>
          <w:rFonts w:ascii="Times New Roman" w:hAnsi="Times New Roman"/>
          <w:kern w:val="24"/>
          <w:u w:color="000000"/>
          <w:rtl w:val="0"/>
          <w:lang w:val="en-US"/>
        </w:rPr>
        <w:t>an early example of verse-prechorus-chorus form?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kern w:val="24"/>
          <w:u w:color="000000"/>
          <w:rtl w:val="0"/>
          <w:lang w:val="en-US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What is the relationship between the sentence and the prechorus (pgph 23)?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reeSan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Free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Fonts w:ascii="Times New Roman" w:cs="Times New Roman" w:hAnsi="Times New Roman" w:eastAsia="Times New Roman"/>
        <w:kern w:val="24"/>
        <w:u w:color="000000"/>
        <w:rtl w:val="0"/>
      </w:rPr>
    </w:pPr>
    <w:r>
      <w:rPr>
        <w:rFonts w:ascii="Times New Roman" w:cs="Times New Roman" w:hAnsi="Times New Roman" w:eastAsia="Times New Roman"/>
        <w:kern w:val="24"/>
        <w:u w:color="000000"/>
        <w:rtl w:val="0"/>
      </w:rPr>
      <w:tab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John Peterson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 xml:space="preserve">. 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 xml:space="preserve">© 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2022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. CC BY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–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>SA 4.0. Open Music Theory.</w:t>
    </w:r>
  </w:p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r>
    <w:r>
      <w:rPr>
        <w:rFonts w:ascii="Times New Roman" w:cs="Times New Roman" w:hAnsi="Times New Roman" w:eastAsia="Times New Roman"/>
        <w:b w:val="0"/>
        <w:bCs w:val="0"/>
        <w:i w:val="1"/>
        <w:iCs w:val="1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</w:pP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Title of Sheet </w:t>
    </w:r>
    <w:r>
      <w:rPr>
        <w:rFonts w:ascii="Helvetica" w:hAnsi="Helvetica" w:hint="default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 xml:space="preserve">– </w:t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Subtitle if Applicable</w:t>
    </w:r>
  </w:p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tl w:val="0"/>
      </w:rPr>
    </w:pPr>
    <w:r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______________________________________________________________________</w:t>
    </w:r>
    <w:r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767171"/>
      <w:spacing w:val="0"/>
      <w:kern w:val="24"/>
      <w:position w:val="0"/>
      <w:sz w:val="20"/>
      <w:szCs w:val="20"/>
      <w:u w:val="none" w:color="767171"/>
      <w:shd w:val="nil" w:color="auto" w:fill="auto"/>
      <w:vertAlign w:val="baseline"/>
      <w14:textOutline>
        <w14:noFill/>
      </w14:textOutline>
      <w14:textFill>
        <w14:solidFill>
          <w14:srgbClr w14:val="767171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reeSans"/>
        <a:ea typeface="FreeSans"/>
        <a:cs typeface="FreeSans"/>
      </a:majorFont>
      <a:minorFont>
        <a:latin typeface="FreeSans"/>
        <a:ea typeface="FreeSans"/>
        <a:cs typeface="Free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ree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eeSerif"/>
            <a:ea typeface="FreeSerif"/>
            <a:cs typeface="FreeSerif"/>
            <a:sym typeface="Free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