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Activity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Review part or all of the </w:t>
      </w:r>
      <w:hyperlink r:id="rId6">
        <w:r w:rsidDel="00000000" w:rsidR="00000000" w:rsidRPr="00000000">
          <w:rPr>
            <w:color w:val="1155cc"/>
            <w:u w:val="single"/>
            <w:rtl w:val="0"/>
          </w:rPr>
          <w:t xml:space="preserve">IRIS Center's Module on Universal Design for Learning</w:t>
        </w:r>
      </w:hyperlink>
      <w:r w:rsidDel="00000000" w:rsidR="00000000" w:rsidRPr="00000000">
        <w:rPr>
          <w:rtl w:val="0"/>
        </w:rPr>
        <w:t xml:space="preserve">. At the bottom of Page 1 of the module, click the embedded link in the Activity box, to complete the Barsch Inventory about your own learning preferences. Connect with others who have completed the Barsch Inventory and compare your profile of preferences.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Activity 2</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Review part or all of the </w:t>
      </w:r>
      <w:hyperlink r:id="rId7">
        <w:r w:rsidDel="00000000" w:rsidR="00000000" w:rsidRPr="00000000">
          <w:rPr>
            <w:color w:val="1155cc"/>
            <w:u w:val="single"/>
            <w:rtl w:val="0"/>
          </w:rPr>
          <w:t xml:space="preserve">IRIS Center's Module on Universal Design for Learning</w:t>
        </w:r>
      </w:hyperlink>
      <w:r w:rsidDel="00000000" w:rsidR="00000000" w:rsidRPr="00000000">
        <w:rPr>
          <w:rtl w:val="0"/>
        </w:rPr>
        <w:t xml:space="preserve">. Apply what you've learned about your learning preferences in the activity above and imagine you are a 2nd grade teacher beginning a new unit on plants and you have students like you (with your learning preferences) in your class. Your goal is to teach all students in your class the parts of the plant (stem, leaves, roots) while incorporating the 3 principles of UDL (representation, engagement, action &amp; expression).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 what 2 ways could you present the parts of a plant information (multiple means of representation)?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 what 2 ways could you try to maintain students' engagement in the topic (multiple means of engagement)?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 what 2 ways could you assess how well students know the parts of a plant as a result of your instruction (multiple means of action and expression)?</w:t>
      </w:r>
    </w:p>
    <w:p w:rsidR="00000000" w:rsidDel="00000000" w:rsidP="00000000" w:rsidRDefault="00000000" w:rsidRPr="00000000" w14:paraId="0000000C">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ris.peabody.vanderbilt.edu/module/udl/" TargetMode="External"/><Relationship Id="rId7" Type="http://schemas.openxmlformats.org/officeDocument/2006/relationships/hyperlink" Target="https://iris.peabody.vanderbilt.edu/module/u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